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CBDC" w14:textId="77777777" w:rsidR="00CA49B5" w:rsidRDefault="00A010DC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 “Село-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учреждениесе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1296E9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340FE7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531805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CD2F09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926773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2E97984C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BA5648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CC43F" w14:textId="77777777" w:rsidR="00CA49B5" w:rsidRDefault="00A010DC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«ВАТАН САГЫНДА – ТАТАРЛАР»</w:t>
      </w:r>
    </w:p>
    <w:p w14:paraId="065198A8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5A0A93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545CF4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7ED548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C9006D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222432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D380C2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FF7037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80AA5F" w14:textId="77777777" w:rsidR="00CA49B5" w:rsidRDefault="00A010DC">
      <w:pPr>
        <w:spacing w:before="30" w:after="3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1E14E7CA" w14:textId="77777777" w:rsidR="00CA49B5" w:rsidRDefault="00A010DC">
      <w:pPr>
        <w:spacing w:before="30" w:after="30" w:line="360" w:lineRule="auto"/>
        <w:ind w:firstLine="708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вторы: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сыйныф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укучысы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0CEBCE" w14:textId="77777777" w:rsidR="00CA49B5" w:rsidRDefault="00A010DC">
      <w:pPr>
        <w:spacing w:before="30" w:after="3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Иванова Вероника Юрий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</w:p>
    <w:p w14:paraId="41BEF2E3" w14:textId="77777777" w:rsidR="00CA49B5" w:rsidRDefault="00A010DC">
      <w:pPr>
        <w:spacing w:before="30" w:after="3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Җитәкче: югары категорияле туган (татар)</w:t>
      </w:r>
    </w:p>
    <w:p w14:paraId="5578B904" w14:textId="77777777" w:rsidR="00CA49B5" w:rsidRDefault="00A010DC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теле  һәм әдәбияты укытучысы</w:t>
      </w:r>
    </w:p>
    <w:p w14:paraId="135EC465" w14:textId="77777777" w:rsidR="00CA49B5" w:rsidRDefault="00A010DC">
      <w:pPr>
        <w:spacing w:before="30" w:after="3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Карпова Елизавета Семен кызы</w:t>
      </w:r>
    </w:p>
    <w:p w14:paraId="35A1066C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802BC1" w14:textId="77777777" w:rsidR="00CA49B5" w:rsidRDefault="00CA49B5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1B991A" w14:textId="77777777" w:rsidR="00CA49B5" w:rsidRDefault="00A010DC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Село-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Чура</w:t>
      </w:r>
      <w:proofErr w:type="spellEnd"/>
    </w:p>
    <w:p w14:paraId="72CD5C60" w14:textId="77777777" w:rsidR="00CA49B5" w:rsidRDefault="00A010DC">
      <w:pPr>
        <w:pageBreakBefore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ЭЧТӘЛЕК</w:t>
      </w:r>
    </w:p>
    <w:p w14:paraId="4B5DB839" w14:textId="77777777" w:rsidR="00CA49B5" w:rsidRDefault="00CA49B5">
      <w:pPr>
        <w:spacing w:before="30" w:after="3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14B88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КЕРЕШ...........................................................................................3-4 б.</w:t>
      </w:r>
    </w:p>
    <w:p w14:paraId="466B7EAA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ТӨП ӨЛЕШ. ВАТАН САГЫНДА - ТАТАРЛАР...................4-14 б.</w:t>
      </w:r>
    </w:p>
    <w:p w14:paraId="24E72CEE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БЕРЕНЧЕ БҮЛЕК..................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.........................................................4-11 б.</w:t>
      </w:r>
    </w:p>
    <w:p w14:paraId="53B372E3" w14:textId="77777777" w:rsidR="00CA49B5" w:rsidRDefault="00A010DC">
      <w:pPr>
        <w:spacing w:before="30" w:after="3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вакыйгаларда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-7 б.</w:t>
      </w:r>
    </w:p>
    <w:p w14:paraId="264B52CC" w14:textId="77777777" w:rsidR="00CA49B5" w:rsidRDefault="00A010DC">
      <w:pPr>
        <w:spacing w:before="30" w:after="3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якташларыбыз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-8 б.</w:t>
      </w:r>
    </w:p>
    <w:p w14:paraId="32B417E7" w14:textId="77777777" w:rsidR="00CA49B5" w:rsidRDefault="00A010DC">
      <w:pPr>
        <w:spacing w:before="30" w:after="3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-11 б.</w:t>
      </w:r>
    </w:p>
    <w:p w14:paraId="4205D0CF" w14:textId="77777777" w:rsidR="00CA49B5" w:rsidRDefault="00A010DC">
      <w:pPr>
        <w:spacing w:before="30" w:after="3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1.3.1. С.Ә.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юлы....................................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-9 б.</w:t>
      </w:r>
    </w:p>
    <w:p w14:paraId="74287182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1.3.2.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.............................................9-11 б.</w:t>
      </w:r>
    </w:p>
    <w:p w14:paraId="4E978009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1.3.3.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мөрәҗәгате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...................................11 б.</w:t>
      </w:r>
    </w:p>
    <w:p w14:paraId="2517C432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ИКЕНЧЕ БҮЛЕК..........................................................................12-14 б.</w:t>
      </w:r>
    </w:p>
    <w:p w14:paraId="1BCE6D5C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Тарихыбызны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..........................................12-13 б.</w:t>
      </w:r>
    </w:p>
    <w:p w14:paraId="594628EE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</w:t>
      </w:r>
      <w:r>
        <w:rPr>
          <w:rFonts w:ascii="Times New Roman" w:eastAsia="Times New Roman" w:hAnsi="Times New Roman" w:cs="Times New Roman"/>
          <w:sz w:val="28"/>
          <w:szCs w:val="28"/>
        </w:rPr>
        <w:t>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...............................................13-14 б.</w:t>
      </w:r>
    </w:p>
    <w:p w14:paraId="739D0960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ЙОМГАКЛАУ........................................................................14 б.</w:t>
      </w:r>
    </w:p>
    <w:p w14:paraId="6A7D9CB0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КУЛЛАНЫЛГАН ӘДӘБИЯТ ИСЕМЛЕГЕ...............................15-16 б.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F0ECAB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8B44912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763EF37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FDCC2E3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32D30E4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7B97E09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224E5A1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C8A1A78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264449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16846D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E3369E" w14:textId="77777777" w:rsidR="00CA49B5" w:rsidRDefault="00CA49B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B33041" w14:textId="77777777" w:rsidR="00CA49B5" w:rsidRDefault="00CA49B5">
      <w:pPr>
        <w:pageBreakBefore/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4EF3D2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КЕРЕШ</w:t>
      </w:r>
    </w:p>
    <w:p w14:paraId="0DECA0B3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эчтәлеге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актуальлелеге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9DDAB99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Россия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вакыйгалар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инкыйлаблар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узмады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чиратында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үтәүче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дәвамында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тикшеренүләр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эзләнүләр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нәтиҗәсеннән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чыгып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Ливон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Бөтендөнья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млн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чамасы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катнашканлыгы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билгеле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0CEBBD" w14:textId="77777777" w:rsidR="00CA49B5" w:rsidRDefault="00A010DC">
      <w:pPr>
        <w:spacing w:before="20" w:after="20" w:line="360" w:lineRule="auto"/>
        <w:ind w:right="9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Ватаныбызны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исемлеген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киңәйтү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нәселдән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нәселгә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мәсьәләләрнең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баса.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мәсьәләне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Күбебезне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борчый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Патриотик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оештыру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таныштыруның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челтәрләр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җәмгыятькә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тора.</w:t>
      </w:r>
    </w:p>
    <w:p w14:paraId="02BCA5BA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гасырның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югалтулар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китергән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вакыйгасы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үткәне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никадәр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булмасын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сәяси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әхлакый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мәдәни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Россиядә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елы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елы”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билгеләнде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карамастан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алдыбызга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баса. XXI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җәмгыяте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тырыша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Кызганычка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мәсьәлә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уйлана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өстендә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эшләдем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җәмгыятьтә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2E91E9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Максат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казанышларын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җиткерү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05A1D" w14:textId="77777777" w:rsidR="00CA49B5" w:rsidRDefault="00A010D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Бурычлар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DADB313" w14:textId="77777777" w:rsidR="00CA49B5" w:rsidRDefault="00A010DC">
      <w:pPr>
        <w:pStyle w:val="a3"/>
        <w:numPr>
          <w:ilvl w:val="0"/>
          <w:numId w:val="1"/>
        </w:numPr>
        <w:spacing w:before="30" w:after="30" w:line="360" w:lineRule="auto"/>
        <w:ind w:left="-360"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җыю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B9DA4" w14:textId="77777777" w:rsidR="00CA49B5" w:rsidRDefault="00A010DC">
      <w:pPr>
        <w:pStyle w:val="a3"/>
        <w:numPr>
          <w:ilvl w:val="0"/>
          <w:numId w:val="2"/>
        </w:numPr>
        <w:spacing w:before="30" w:after="30" w:line="360" w:lineRule="auto"/>
        <w:ind w:left="-360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9B9031" w14:textId="77777777" w:rsidR="00CA49B5" w:rsidRDefault="00A010DC">
      <w:pPr>
        <w:pStyle w:val="a3"/>
        <w:numPr>
          <w:ilvl w:val="0"/>
          <w:numId w:val="3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Алдынгылар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берлектә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F78C21" w14:textId="77777777" w:rsidR="00CA49B5" w:rsidRDefault="00A010DC">
      <w:pPr>
        <w:pStyle w:val="a3"/>
        <w:numPr>
          <w:ilvl w:val="0"/>
          <w:numId w:val="3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C7B026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Көтелгән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нәтиҗәләр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BBD5355" w14:textId="77777777" w:rsidR="00CA49B5" w:rsidRDefault="00A010DC">
      <w:pPr>
        <w:pStyle w:val="a3"/>
        <w:numPr>
          <w:ilvl w:val="0"/>
          <w:numId w:val="4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яшьтәшләремнең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кызыксынулары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арту;</w:t>
      </w:r>
    </w:p>
    <w:p w14:paraId="3932C031" w14:textId="77777777" w:rsidR="00CA49B5" w:rsidRDefault="00A010DC">
      <w:pPr>
        <w:pStyle w:val="a3"/>
        <w:numPr>
          <w:ilvl w:val="0"/>
          <w:numId w:val="4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үрнәк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куелу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03E93F" w14:textId="77777777" w:rsidR="00CA49B5" w:rsidRDefault="00A010DC">
      <w:pPr>
        <w:pStyle w:val="a3"/>
        <w:numPr>
          <w:ilvl w:val="0"/>
          <w:numId w:val="4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тупланган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еруча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1800BD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Өйрәнү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3E1070A" w14:textId="77777777" w:rsidR="00CA49B5" w:rsidRDefault="00A010DC">
      <w:pPr>
        <w:spacing w:before="30" w:after="30" w:line="360" w:lineRule="auto"/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Өйрәнү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яктыртылган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D7BCD5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Проектның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әһәмияте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зарурлыгы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патри</w:t>
      </w:r>
      <w:r>
        <w:rPr>
          <w:rFonts w:ascii="Times New Roman" w:eastAsia="Times New Roman" w:hAnsi="Times New Roman" w:cs="Times New Roman"/>
          <w:sz w:val="28"/>
          <w:szCs w:val="28"/>
        </w:rPr>
        <w:t>отик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тәрбияләү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аеруча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742C0A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ТӨП ӨЛЕШ. ВАТАН САГЫНДА - ТАТАРЛАР.</w:t>
      </w:r>
    </w:p>
    <w:p w14:paraId="10CA74CC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заманнардан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Россия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вакыйгаларның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узмаган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карашларны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дөньяга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кыйммәтләр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үзгәрсә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төшенчәсе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үзгәре</w:t>
      </w:r>
      <w:r>
        <w:rPr>
          <w:rFonts w:ascii="Times New Roman" w:eastAsia="Times New Roman" w:hAnsi="Times New Roman" w:cs="Times New Roman"/>
          <w:sz w:val="28"/>
          <w:szCs w:val="28"/>
        </w:rPr>
        <w:t>шсез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абыйлары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бабалары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бар: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китүе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сәламәт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сынаулар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тәҗрибәсе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туплап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солдат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физик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 рухи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ныгып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кайта.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Якташларыбызның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армия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EF5EA5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БЕРЕНЧЕ БҮЛЕК. </w:t>
      </w:r>
    </w:p>
    <w:p w14:paraId="170EC40C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Ил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тарихындагы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вакыйгаларда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татарларның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өлеше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83CD9D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Никадәр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кайгы-хәсрәт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югалту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бәхетсезлек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китердең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әйләндерергә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тезләндереп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өстеннән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явызларча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хакимлек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теләгәнсеңдер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горурланып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сөйләрлек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җиңелмәс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батыр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шундый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батыр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йөрәкле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үстергән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төшенчәсе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мәгънәсендә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бетмәс-төкәнмәс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мәхәббәт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сынаулар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чиксез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югалтулар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таңын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егерме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миллион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чиксез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кинолардан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дәреслеклә</w:t>
      </w:r>
      <w:r>
        <w:rPr>
          <w:rFonts w:ascii="Times New Roman" w:eastAsia="Times New Roman" w:hAnsi="Times New Roman" w:cs="Times New Roman"/>
          <w:sz w:val="28"/>
          <w:szCs w:val="28"/>
        </w:rPr>
        <w:t>реннән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язучыларыбызның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иҗат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әдәби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әсәрләре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танышып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Миллионнарча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хәбәрсез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югалганнарның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язмышын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Быел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хатирәләрен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җиңелмәс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батырларыб</w:t>
      </w:r>
      <w:r>
        <w:rPr>
          <w:rFonts w:ascii="Times New Roman" w:eastAsia="Times New Roman" w:hAnsi="Times New Roman" w:cs="Times New Roman"/>
          <w:sz w:val="28"/>
          <w:szCs w:val="28"/>
        </w:rPr>
        <w:t>ызны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һәйкәлләр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кызганыч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ачысын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афэтен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кичергэн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күкрәк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көмеш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медальләрен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чыңлатып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каршылаучы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авылдаш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ветераннарыбыз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якыннарыбыз-бабаларыбыз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җиткерергә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73BDED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күрербез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һәрвакыт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саклаячак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язмышында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әһәмияткә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милләтен</w:t>
      </w:r>
      <w:r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A084A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1941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фашистлар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Германиясе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игълан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итмичә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Берлегенә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бөтендөнья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язмышында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хәлиткеч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уйнаган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көннәреннән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базаларының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берсенә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әйләнә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Биредә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бармаса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Республика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якташларыбыз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курку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Легендар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шагыйрь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Җәлил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Брест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ныгытмасының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чыдам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сакчысы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Петр Гаврилов,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Мәгубә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Сыртланова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Матросов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кабатлаган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Газинур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Гафиятуллин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ару-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талуны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сапер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Мотыйк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Әхмәдуллин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күпләрнең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исемнәре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елъязмасына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хәрефләр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саны 179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тәшкил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Ф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ронтларында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Татарстанда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медальлә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бүләкләнгән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Йолдызына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орденының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кавалеры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2457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50се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Республикабызда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Разведчиклар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Булатов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Рифкать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Гайнуллин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артиллеристлар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Каюм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</w:t>
      </w:r>
      <w:r>
        <w:rPr>
          <w:rFonts w:ascii="Times New Roman" w:eastAsia="Times New Roman" w:hAnsi="Times New Roman" w:cs="Times New Roman"/>
          <w:sz w:val="28"/>
          <w:szCs w:val="28"/>
        </w:rPr>
        <w:t>аббаров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Николай Зотов,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танкистлар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Рөстәм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Хәмитов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Павел Михеев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өчәр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ордены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бүләкләнгән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Матросов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Газинур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Гафиятуллин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кабатлаган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сынауларны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фашизмны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мар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итүгә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меңләгән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ир-егете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хатын-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дөньяда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тынычлык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урнашсын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корбан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исемнәре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киләчәк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хезмәтчәннәре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фидакарьлек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2CB488" w14:textId="77777777" w:rsidR="00CA49B5" w:rsidRDefault="00A010DC">
      <w:pPr>
        <w:spacing w:before="30" w:after="30" w:line="36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100дән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әдибе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язучыларның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31е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җирләренә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әйләнеп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яуларында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тоткынлыкта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вафат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булалар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елларында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Татар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газеталары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июлендә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 фронт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газетасы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чыккан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Ишморат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Әпсәләмов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И. Гази,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Ә. Исхак, 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Ә.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Фәйзи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</w:t>
      </w:r>
      <w:r>
        <w:rPr>
          <w:rFonts w:ascii="Times New Roman" w:eastAsia="Times New Roman" w:hAnsi="Times New Roman" w:cs="Times New Roman"/>
          <w:sz w:val="28"/>
          <w:szCs w:val="28"/>
        </w:rPr>
        <w:t>дәррис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Б.Рәхмәт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язучылар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Фронт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газеталары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көрәшкә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рухландыру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әдәбияты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традицияләрен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үстерүдә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уйныйлар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эшчеләре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колхозчылары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элемтәсен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</w:t>
      </w:r>
      <w:r>
        <w:rPr>
          <w:rFonts w:ascii="Times New Roman" w:eastAsia="Times New Roman" w:hAnsi="Times New Roman" w:cs="Times New Roman"/>
          <w:sz w:val="28"/>
          <w:szCs w:val="28"/>
        </w:rPr>
        <w:t>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316A158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сакладылар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дигәндә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тиешбез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яшәгән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онытмыйча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буыннарга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3881F0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Союзы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якташларыбыз</w:t>
      </w:r>
      <w:proofErr w:type="spellEnd"/>
    </w:p>
    <w:p w14:paraId="60DDAD47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туфрагында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үскән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яисә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әти-әнисе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исемнәре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китапларга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күләмле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язмалар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4D5582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Воробьёв Пётр Егор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Чаусы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(Могилев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өлкәсе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тирәсендә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елгаларын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кичкәндә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Днепр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елгасын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кичкәндә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D63877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Савин Николай Семён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экипажы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беренчеләрдән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Уманьга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берничә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немец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нтратакасын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600гә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автомашина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берничә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складны ала.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Көньяк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Савин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иптәшләре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үзйөрешле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артиллерия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орудиесын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кичүне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мөмкинлек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40F7B6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Газизуллин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Ибраһим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самолетын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заданиене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үтәгәндә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6BC9BA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Заһидуллин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Фәхретдин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Гыйльметдин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Заһидулин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536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подразделен</w:t>
      </w:r>
      <w:r>
        <w:rPr>
          <w:rFonts w:ascii="Times New Roman" w:eastAsia="Times New Roman" w:hAnsi="Times New Roman" w:cs="Times New Roman"/>
          <w:sz w:val="28"/>
          <w:szCs w:val="28"/>
        </w:rPr>
        <w:t>иеләрен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Свирь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елгасы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Ленинград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өлкәсенең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Лодейное Поле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көнбатышка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күчерә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көймәсе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зарарлангач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Заһидуллин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зарарлануларны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дивизиядә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биләгән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пулеметчылар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взводын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җибәрә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Заһидулин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 рейс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кораллары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командирны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кирәк-яраклары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орудие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1226986C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октябрендә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Көнчыгыш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Пруссиядәге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</w:t>
      </w:r>
      <w:r>
        <w:rPr>
          <w:rFonts w:ascii="Times New Roman" w:eastAsia="Times New Roman" w:hAnsi="Times New Roman" w:cs="Times New Roman"/>
          <w:sz w:val="28"/>
          <w:szCs w:val="28"/>
        </w:rPr>
        <w:t>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ныгытылган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Неммерсдорф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штурмлау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мылтыктан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танк,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үзйөрешле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артиллерия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бронетранспортер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снарядлар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машинасын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B23562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төбәгем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битләренә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теркәп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Матросов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кабатлаган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Идрисов,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тиңдәшсез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полк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Шакиров,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якташларымның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күңелемнән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горурланам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B6DBBF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Әхтәм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A1924FF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 С.Ә.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юлы</w:t>
      </w:r>
    </w:p>
    <w:p w14:paraId="41AD3915" w14:textId="77777777" w:rsidR="00CA49B5" w:rsidRDefault="00A010D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өлкәне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елда, 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авырлыкларын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тулысынча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Кызыл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Армиядә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ноябреннән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уза,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бронебойщик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эләгә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мылтык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укчысы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4-нче гвардия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мотоукчылар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бригадасының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гвардия рядовое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</w:rPr>
        <w:t>лоруссияне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Балтыйк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территориясендәге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Белоруссиянең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Староселье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үзйөрешле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артиллерия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установкасын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73AA6E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1944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октябрендә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Көнчыгыш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Пруссиядәге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r>
        <w:rPr>
          <w:rFonts w:ascii="Times New Roman" w:eastAsia="Times New Roman" w:hAnsi="Times New Roman" w:cs="Times New Roman"/>
          <w:sz w:val="28"/>
          <w:szCs w:val="28"/>
        </w:rPr>
        <w:t>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ныгытылган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Неммерсдорф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штурмлау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Калининград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өлкәсенең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Маяковское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мылтыктан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танк,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үзйөрешле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артиллерия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(САУ),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бронетранспортер (БТР)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снарядлар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машинасын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СССР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Президиумының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командованиенең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биремнәрен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үрнәк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үтәгәне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гвардия рядовое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sz w:val="28"/>
          <w:szCs w:val="28"/>
        </w:rPr>
        <w:t>релә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Ленин ордены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«Алтын Йолдыз»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Ауловен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Көнчыгыш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Пруссия;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Черняхов районы Калиновка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бистәсе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йортның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чормасыннан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Пантера»танкын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Кызыл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Байрак ордены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бүләкләнә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Озакламый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яралана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Мәскәүдә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Кызыл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мәйданда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E0298" w14:textId="77777777" w:rsidR="00CA49B5" w:rsidRDefault="00A010DC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армиядә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итүен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дәвам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елда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лейтенантлар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әзерләү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тәмамлый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1951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министрлыгының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гаскәрләрендә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1953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елда Горький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өлкә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Советы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сайлана.1953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елда кичке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мәктәпкә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уңышлы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тәмамлый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1956-1959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СССР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Министрлар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 Э. Дзержинский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</w:t>
      </w:r>
      <w:r>
        <w:rPr>
          <w:rFonts w:ascii="Times New Roman" w:eastAsia="Times New Roman" w:hAnsi="Times New Roman" w:cs="Times New Roman"/>
          <w:sz w:val="28"/>
          <w:szCs w:val="28"/>
        </w:rPr>
        <w:t>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Мәскәү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9669BF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1963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1972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Советы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1972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Черниговта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«Химволокно»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җитештерү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берләшмәсендә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Оборонасының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махсус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корылмалары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елда Горький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Түбән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Новгород)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күченә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«РИАП» Горький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инженер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вазифасын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1986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августыннан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башкаласы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С.Ә.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җәмәгать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эшлеклесе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Казан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оешмалары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Казан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 районы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комитеты, «Татарстан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иҗтимагый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оешмасы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sz w:val="28"/>
          <w:szCs w:val="28"/>
        </w:rPr>
        <w:t>стрлыгының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Ветераннар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әгъзасы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була.Сабир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июлендә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вафат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Туган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җирләнгән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6386C6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чоры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истәлекләре</w:t>
      </w:r>
      <w:proofErr w:type="spellEnd"/>
    </w:p>
    <w:p w14:paraId="5C363138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көннәреннән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тимерчелектә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нәрсәләргә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киткәч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урынына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кала. 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әнисе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өйләрендә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туендырырга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сукалар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чәчкечләр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тырмалар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ремонтлый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яраланып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кайткан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фронтовикларны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күктә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самолетлар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очканын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Бигрәк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өстеннән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Көннәрдән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“кукурузник”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йөртелгән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самолет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төшеп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могҗизаны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якыннан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ашыга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тимерчене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таптыра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Бензин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тишелгән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аласыңмы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?”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егеттән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тишеген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куялар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рәхмәт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йөзеннән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Әйдә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мин сине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очыртып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күккә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тигәндәй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Күккә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менгәч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уенчык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урман,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шакката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Колхоз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әйләнгәч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җирдә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калдыра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«Сабир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самолетны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төзәткән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сүзләр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кайгылы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тутырган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 буе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әзерлиләр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Аннан Смоленск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китерә</w:t>
      </w:r>
      <w:r>
        <w:rPr>
          <w:rFonts w:ascii="Times New Roman" w:eastAsia="Times New Roman" w:hAnsi="Times New Roman" w:cs="Times New Roman"/>
          <w:sz w:val="28"/>
          <w:szCs w:val="28"/>
        </w:rPr>
        <w:t>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Нәкъ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вафат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танк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самоходка»сын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Кызыл Йолдыз ордены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бүләкләнә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әнисенә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бертуганнарына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бишәр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җибәрәләр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Дошманн</w:t>
      </w:r>
      <w:r>
        <w:rPr>
          <w:rFonts w:ascii="Times New Roman" w:eastAsia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коралларын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хөкүмәте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әтисен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бервакыт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үлгәннәр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исемлегенә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кертәләр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бәрелешләр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иптәшләре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беткәч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берүзе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көрәшә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дошманг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җимерелә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хәрәбәләр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һәлак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исәплиләр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кала. «Ярый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алайса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хәбәрен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әнигә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җибәргән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югалту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ачысына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түзмәс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диг</w:t>
      </w:r>
      <w:r>
        <w:rPr>
          <w:rFonts w:ascii="Times New Roman" w:eastAsia="Times New Roman" w:hAnsi="Times New Roman" w:cs="Times New Roman"/>
          <w:sz w:val="28"/>
          <w:szCs w:val="28"/>
        </w:rPr>
        <w:t>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июнендә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Мәскәүдә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Кызыл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Мәйданда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парады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Алдан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төзелә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әзерлек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солдатларны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әзерләүче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офицер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ала да: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Кечкенә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буйлы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солдат 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Баксаң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буе 170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сантиметрдан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Ә Сабир 165 см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командирга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>нкны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буем ярый,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кечкенә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икәнмен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...»,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үпкәсен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белдерә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сүзләрне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ишетеп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шинеленең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төймәсен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ычкындырырга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күкрәге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орден-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медальләрне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күргәч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Тизрәк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астырыгыз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солдатлар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онытылмаслык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вакыйгада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ирешә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0B22A3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Казан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шәһәренең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121 лицее,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Манзарас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батыр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якташыбызның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йөртә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Манзарас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мәктәбендә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мемориаль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куелган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музее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“Алтын Йолдыз”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“Ленин”, “Кызыл байрак”,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дәрәҗә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“Кызыл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йолдыз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орденларына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елда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Рөстәм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Нургали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Миңнеханов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казанышлары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орденын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Ветеранның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яшьләргә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мөрәҗәгате</w:t>
      </w:r>
      <w:proofErr w:type="spellEnd"/>
    </w:p>
    <w:p w14:paraId="143C9345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Мин, Сабир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теләкләр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мөрәҗәгать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катлаулы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яшьләргә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Һәрвакытта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теләгәнчә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рөхсәт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уңышка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ирешү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нәрсәгә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Сәламәт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sz w:val="28"/>
          <w:szCs w:val="28"/>
        </w:rPr>
        <w:t>ламәт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барысыннан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үзеңнең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сәламәтлегеңне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сакларга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ныгытырга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ваклыкларына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иътибар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итмичә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бер-берегез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ярдәмләшеп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яшәвегезне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кадерен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яшьлекне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файдалы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өйрәнегез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юк-барга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сарыф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итмичә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яхшы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гамәлләр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Игелекле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сәламәтләндерә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EA7F8D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Советлар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Союзы Герое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Әхтәмов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Ә.</w:t>
      </w:r>
    </w:p>
    <w:p w14:paraId="292C3AFC" w14:textId="77777777" w:rsidR="00CA49B5" w:rsidRDefault="00CA49B5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FABA4" w14:textId="77777777" w:rsidR="00CA49B5" w:rsidRDefault="00CA49B5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8811A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ИКЕНЧЕ БҮЛЕК.</w:t>
      </w:r>
    </w:p>
    <w:p w14:paraId="0A0DAA13" w14:textId="77777777" w:rsidR="00CA49B5" w:rsidRDefault="00A010DC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Тарихыбызны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ысуллары</w:t>
      </w:r>
      <w:proofErr w:type="spellEnd"/>
    </w:p>
    <w:p w14:paraId="49425665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үткәнгә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киләчәк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онытылмас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калдырды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халкыбызның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10F94313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Ватаныбызның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азатлыгы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әйсезлеге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гомерләрен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кешеләрнең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бердәмлекне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ныгытабыз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ватанпәрвәрлек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тәрбиялибез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киләчәк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җаваплылык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тудырабыз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әхлакый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тәрбияләргә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яхшылыкны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яманлыктан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дөреслекне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ялганн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бозарга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тырышуга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Тарихибызны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билгеле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8EF656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мәктәпнең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уртак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тырышлыгы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эшчәнлек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шәхес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формалашырга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мөстәкыйль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булышлык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шәхесендә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ватанпәрвәрлек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позициясе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сыйфатлар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формалаштыру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сәләтле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укытучы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көчәюен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билгеләп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8D1132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Хәзерге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мәктәпкә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шләү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Инновацион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мөмкинлекләр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мәктәбе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коллективының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патриотик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хакыйкатьне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юнәлешләр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бар</w:t>
      </w:r>
      <w:r>
        <w:rPr>
          <w:rFonts w:ascii="Times New Roman" w:eastAsia="Times New Roman" w:hAnsi="Times New Roman" w:cs="Times New Roman"/>
          <w:sz w:val="28"/>
          <w:szCs w:val="28"/>
        </w:rPr>
        <w:t>ыла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эшчәнлеге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укытучылар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куйган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итәчәк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нәтиҗәле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тора.</w:t>
      </w:r>
    </w:p>
    <w:p w14:paraId="76D9575E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Икенче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ысул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күзаллавы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Массакүләм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челтәрләр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форумнар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актуальләштерүгә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Интернет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челтәре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геройлар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җиңел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интернет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sz w:val="28"/>
          <w:szCs w:val="28"/>
        </w:rPr>
        <w:t>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лаеклы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сугышчыларның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киләчәк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үрнәк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күрсәтергә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таныштырырга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рәвешле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укучылар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кызыксындырган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мөстәкыйль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sz w:val="28"/>
          <w:szCs w:val="28"/>
        </w:rPr>
        <w:t>рәнә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яшьтәшләре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дуслары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популярлаштыра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ала.</w:t>
      </w:r>
    </w:p>
    <w:p w14:paraId="0AF9B7CC" w14:textId="77777777" w:rsidR="00CA49B5" w:rsidRDefault="00A010D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чыганагы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исәптән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истәлекләрне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тапшыра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Гаиләләрдә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сөйләшүләр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патриотик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</w:t>
      </w:r>
      <w:r>
        <w:rPr>
          <w:rFonts w:ascii="Times New Roman" w:eastAsia="Times New Roman" w:hAnsi="Times New Roman" w:cs="Times New Roman"/>
          <w:sz w:val="28"/>
          <w:szCs w:val="28"/>
        </w:rPr>
        <w:t>бияләргә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әби-бабайлары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кызыксынуны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арттыра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CD052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мәңгелек</w:t>
      </w:r>
      <w:proofErr w:type="spellEnd"/>
    </w:p>
    <w:p w14:paraId="6BA0B101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бакчалары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тәрбиячеләре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учреждениеләре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укытучылары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гомумән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халкыбыз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</w:t>
      </w: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якташларыбыз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милләттәшләребезнең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батырлыкларын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мәңгелеккә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мәсьәләне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чиш</w:t>
      </w:r>
      <w:r>
        <w:rPr>
          <w:rFonts w:ascii="Times New Roman" w:eastAsia="Times New Roman" w:hAnsi="Times New Roman" w:cs="Times New Roman"/>
          <w:sz w:val="28"/>
          <w:szCs w:val="28"/>
        </w:rPr>
        <w:t>үгә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үземнең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фикеремне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тәкъдим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итәсем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B35DB1" w14:textId="77777777" w:rsidR="00CA49B5" w:rsidRDefault="00A010DC">
      <w:pPr>
        <w:spacing w:before="30" w:after="3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өстендә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эшләгәндә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челтәрләр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кулланырга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саклаучыларга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багышланган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төзелгән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тупланганнары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сугычшылары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җыеп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үземнең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исемләнгән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сайтымны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булдырырга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җитми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</w:t>
      </w:r>
      <w:r>
        <w:rPr>
          <w:rFonts w:ascii="Times New Roman" w:eastAsia="Times New Roman" w:hAnsi="Times New Roman" w:cs="Times New Roman"/>
          <w:sz w:val="28"/>
          <w:szCs w:val="28"/>
        </w:rPr>
        <w:t>ълүмат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тупларга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танытырга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Алдынгылар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ярдәме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исемләнгән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башланып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Катнашучыларга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үзләр</w:t>
      </w:r>
      <w:r>
        <w:rPr>
          <w:rFonts w:ascii="Times New Roman" w:eastAsia="Times New Roman" w:hAnsi="Times New Roman" w:cs="Times New Roman"/>
          <w:sz w:val="28"/>
          <w:szCs w:val="28"/>
        </w:rPr>
        <w:t>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батыр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әби-бабайларының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танышларының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казанышлары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язып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җибәрергә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мәгълүматлар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беркетелеп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татар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милләтенең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Татарстанчыларның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җиткерү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истәлекләрне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Батырларның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үстерү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минемчә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буынга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милләтебезнең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Ватанны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саклауга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керткән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өлешен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өйрәнергә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шулай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ватанпәрвәрлек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кешелеклелек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сыйфатларын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тәрбияләргә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ярдәм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итәчәк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21DF930" w14:textId="77777777" w:rsidR="00CA49B5" w:rsidRDefault="00A010DC">
      <w:pPr>
        <w:spacing w:before="30" w:after="30" w:line="36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https://project12789061.tilda.ws/</w:t>
        </w:r>
      </w:hyperlink>
    </w:p>
    <w:p w14:paraId="22ED6E85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ЙОМГАКЛАУ</w:t>
      </w:r>
    </w:p>
    <w:p w14:paraId="09B5B41E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җиребезне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илбасарлардан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калган,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иминлеге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гомерен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кызганмаган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каһарманнары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армия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иткәндә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гомерләре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вакытсыз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өзелгән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истәлеге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иябез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буыннардан-буыннарга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күчсен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Каберләргә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һәйкәлләргә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сукмак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өзелмәсен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җирдә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кабынмасын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дөньялар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CBA789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өн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бәхетле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гүзәл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тормышларын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каһарманнарга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исән-сау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чәчәкләр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итсәк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алтыннан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һәйкәл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куйсак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>дерлик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онытмыйк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Дөньяда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яшәүче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кешенең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бар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тынычлык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сакчыларына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мәңгелек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бурычыбыз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халыкның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батырлыгын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оныт</w:t>
      </w:r>
      <w:r>
        <w:rPr>
          <w:rFonts w:ascii="Times New Roman" w:eastAsia="Times New Roman" w:hAnsi="Times New Roman" w:cs="Times New Roman"/>
          <w:sz w:val="28"/>
          <w:szCs w:val="28"/>
        </w:rPr>
        <w:t>мыйча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буыннарга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тапшыру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Ватаныбызны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саклауда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милләтебез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танытуда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әһәмиятле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E6F4EF" w14:textId="77777777" w:rsidR="00CA49B5" w:rsidRDefault="00CA49B5">
      <w:pPr>
        <w:pageBreakBefore/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44F3735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КУЛЛАНЫЛГАН ӘДӘБИЯТ ИСЕМЛЕГЕ</w:t>
      </w:r>
    </w:p>
    <w:p w14:paraId="4E05E9E8" w14:textId="77777777" w:rsidR="00CA49B5" w:rsidRDefault="00A010D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Книга памяти.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Хәтер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Казань: издательство «</w:t>
      </w:r>
      <w:r>
        <w:rPr>
          <w:rFonts w:ascii="Times New Roman" w:eastAsia="Times New Roman" w:hAnsi="Times New Roman" w:cs="Times New Roman"/>
          <w:sz w:val="28"/>
          <w:szCs w:val="28"/>
        </w:rPr>
        <w:t>Книга Памяти»,1995г.</w:t>
      </w:r>
    </w:p>
    <w:p w14:paraId="53EB5A92" w14:textId="77777777" w:rsidR="00CA49B5" w:rsidRDefault="00A010DC">
      <w:pPr>
        <w:pStyle w:val="a3"/>
        <w:numPr>
          <w:ilvl w:val="0"/>
          <w:numId w:val="5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Татарстан в годы Великой Отечественной Войны 1941-1945гг.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елларында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(1941-1945) – Казань: издательство «Книга Памяти», 2000.</w:t>
      </w:r>
    </w:p>
    <w:p w14:paraId="06FE8575" w14:textId="77777777" w:rsidR="00CA49B5" w:rsidRDefault="00A010DC">
      <w:pPr>
        <w:pStyle w:val="a3"/>
        <w:numPr>
          <w:ilvl w:val="0"/>
          <w:numId w:val="5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Данилов А. А. Отечественная история: Учебник для вузов. М., 2003г.</w:t>
      </w:r>
    </w:p>
    <w:p w14:paraId="6D529AFD" w14:textId="77777777" w:rsidR="00CA49B5" w:rsidRDefault="00A010DC">
      <w:pPr>
        <w:pStyle w:val="a3"/>
        <w:numPr>
          <w:ilvl w:val="0"/>
          <w:numId w:val="5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Татарстан в годы Великой Отечественной войны.</w:t>
      </w:r>
    </w:p>
    <w:p w14:paraId="1510D2AD" w14:textId="77777777" w:rsidR="00CA49B5" w:rsidRDefault="00A010DC">
      <w:pPr>
        <w:pStyle w:val="a3"/>
        <w:numPr>
          <w:ilvl w:val="0"/>
          <w:numId w:val="5"/>
        </w:numPr>
        <w:spacing w:before="30" w:after="30" w:line="360" w:lineRule="auto"/>
        <w:ind w:left="-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"Буду работать по-стахановски". Участие Татарстана в развитии военно-промышленного производства в годы Великой Отечественной войны” статья.</w:t>
      </w:r>
    </w:p>
    <w:p w14:paraId="416EE694" w14:textId="77777777" w:rsidR="00CA49B5" w:rsidRDefault="00A010DC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6908A4A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8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Фронтовик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язучылар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. Фотоархив.</w:t>
        </w:r>
      </w:hyperlink>
    </w:p>
    <w:p w14:paraId="02162083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9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Национальный архив Республики </w:t>
        </w:r>
        <w:proofErr w:type="gram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Татарстан :</w:t>
        </w:r>
        <w:proofErr w:type="gram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: Архивы</w:t>
        </w:r>
      </w:hyperlink>
    </w:p>
    <w:p w14:paraId="25E9FD16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0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АХТЯМОВ САБИР АХТЯМОВИЧ | Виртуальный музей Великой Отечественной войны Республики Татарстан</w:t>
        </w:r>
      </w:hyperlink>
    </w:p>
    <w:p w14:paraId="1C9EF104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1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Татарстан в период Великой Отечественной войны</w:t>
        </w:r>
      </w:hyperlink>
    </w:p>
    <w:p w14:paraId="1890DD87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2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7 историй о вкладе Татарстана в Великую Победу | Новости Татарстана —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ТатарстанДа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| Дзен</w:t>
        </w:r>
      </w:hyperlink>
    </w:p>
    <w:p w14:paraId="088F4AEE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3" w:history="1"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Сугыш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еллары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гаил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тарихларында</w:t>
        </w:r>
        <w:proofErr w:type="spellEnd"/>
      </w:hyperlink>
    </w:p>
    <w:p w14:paraId="7C3A397D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4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урок - экскурсия по теме "народ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татарстана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в годы великой отечественной войны" | Статья по истории (11 класс) по теме: | Образовательная социальная сеть</w:t>
        </w:r>
      </w:hyperlink>
    </w:p>
    <w:p w14:paraId="60BC76FB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5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Ратный подвиг татарстанцев в годы Великой Отечественной войны | Виртуальный музей Великой Отечественной войны Республики Татарстан</w:t>
        </w:r>
      </w:hyperlink>
    </w:p>
    <w:p w14:paraId="392D5DB7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hyperlink r:id="rId16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Кукморский</w:t>
        </w:r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| Виртуальный музей Великой Отечественной войны Республики Татарстан</w:t>
        </w:r>
      </w:hyperlink>
    </w:p>
    <w:p w14:paraId="1C7109DA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7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Создать сайт бесплатно. Конструктор сайтов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Tilda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Publishing</w:t>
        </w:r>
      </w:hyperlink>
    </w:p>
    <w:p w14:paraId="3793B7E7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Чын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патриотлар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гына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Ватан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сагында</w:t>
        </w:r>
        <w:proofErr w:type="spellEnd"/>
      </w:hyperlink>
    </w:p>
    <w:p w14:paraId="3902EC3D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hyperlink r:id="rId19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https://t.me/mypervie_patriotizm16</w:t>
        </w:r>
      </w:hyperlink>
    </w:p>
    <w:p w14:paraId="402DB966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0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«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Ватан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сагында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»: материалы</w:t>
        </w:r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«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Миллиард.Татар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» о героях отечества | Миллиард Татар | Дзен</w:t>
        </w:r>
      </w:hyperlink>
    </w:p>
    <w:p w14:paraId="352E64B5" w14:textId="77777777" w:rsidR="00CA49B5" w:rsidRDefault="00A010DC">
      <w:pPr>
        <w:pStyle w:val="a3"/>
        <w:numPr>
          <w:ilvl w:val="0"/>
          <w:numId w:val="6"/>
        </w:numPr>
        <w:spacing w:before="30" w:after="30" w:line="360" w:lineRule="auto"/>
        <w:ind w:left="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1" w:history="1"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Советлар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Союзы Герое Сабир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Әхтәмов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: «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Танкны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яндыру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өчен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буем ярый, ә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парадта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катнашу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өчен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кечкенә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икән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…»</w:t>
        </w:r>
      </w:hyperlink>
    </w:p>
    <w:p w14:paraId="4FDA47BF" w14:textId="77777777" w:rsidR="00CA49B5" w:rsidRDefault="00CA49B5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F5BFB" w14:textId="77777777" w:rsidR="00CA49B5" w:rsidRDefault="00CA49B5">
      <w:pPr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786DBE" w14:textId="77777777" w:rsidR="00CA49B5" w:rsidRDefault="00CA49B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CA49B5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707" w:bottom="1440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C3E4" w14:textId="77777777" w:rsidR="00A010DC" w:rsidRDefault="00A010DC">
      <w:pPr>
        <w:spacing w:after="0" w:line="240" w:lineRule="auto"/>
      </w:pPr>
      <w:r>
        <w:separator/>
      </w:r>
    </w:p>
  </w:endnote>
  <w:endnote w:type="continuationSeparator" w:id="0">
    <w:p w14:paraId="74BF2F76" w14:textId="77777777" w:rsidR="00A010DC" w:rsidRDefault="00A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112D78" w14:paraId="18CEC65A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BFF383" w14:textId="77777777" w:rsidR="00112D78" w:rsidRDefault="00A010DC">
          <w:pPr>
            <w:pStyle w:val="a5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DE3D9" w14:textId="77777777" w:rsidR="00112D78" w:rsidRDefault="00A010DC">
          <w:pPr>
            <w:pStyle w:val="a5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4ACE07" w14:textId="77777777" w:rsidR="00112D78" w:rsidRDefault="00A010DC">
          <w:pPr>
            <w:pStyle w:val="a5"/>
            <w:ind w:right="-115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4F9C1C13" w14:textId="77777777" w:rsidR="00112D78" w:rsidRDefault="00A010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112D78" w14:paraId="38183DB8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323CBB3" w14:textId="77777777" w:rsidR="00112D78" w:rsidRDefault="00A010DC">
          <w:pPr>
            <w:pStyle w:val="a5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4A7DFF" w14:textId="77777777" w:rsidR="00112D78" w:rsidRDefault="00A010DC">
          <w:pPr>
            <w:pStyle w:val="a5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D09607" w14:textId="77777777" w:rsidR="00112D78" w:rsidRDefault="00A010DC">
          <w:pPr>
            <w:pStyle w:val="a5"/>
            <w:ind w:right="-115"/>
            <w:jc w:val="right"/>
          </w:pPr>
        </w:p>
      </w:tc>
    </w:tr>
  </w:tbl>
  <w:p w14:paraId="15049802" w14:textId="77777777" w:rsidR="00112D78" w:rsidRDefault="00A010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1122" w14:textId="77777777" w:rsidR="00A010DC" w:rsidRDefault="00A010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53635F" w14:textId="77777777" w:rsidR="00A010DC" w:rsidRDefault="00A0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112D78" w14:paraId="1F321A47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3DE56B" w14:textId="77777777" w:rsidR="00112D78" w:rsidRDefault="00A010DC">
          <w:pPr>
            <w:pStyle w:val="a5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971AE7" w14:textId="77777777" w:rsidR="00112D78" w:rsidRDefault="00A010DC">
          <w:pPr>
            <w:pStyle w:val="a5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BEFF25F" w14:textId="77777777" w:rsidR="00112D78" w:rsidRDefault="00A010DC">
          <w:pPr>
            <w:pStyle w:val="a5"/>
            <w:ind w:right="-115"/>
            <w:jc w:val="right"/>
          </w:pPr>
        </w:p>
      </w:tc>
    </w:tr>
  </w:tbl>
  <w:p w14:paraId="6026E19E" w14:textId="77777777" w:rsidR="00112D78" w:rsidRDefault="00A010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112D78" w14:paraId="79C4E26E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F247B" w14:textId="77777777" w:rsidR="00112D78" w:rsidRDefault="00A010DC">
          <w:pPr>
            <w:pStyle w:val="a5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B76CC8" w14:textId="77777777" w:rsidR="00112D78" w:rsidRDefault="00A010DC">
          <w:pPr>
            <w:pStyle w:val="a5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D5164A" w14:textId="77777777" w:rsidR="00112D78" w:rsidRDefault="00A010DC">
          <w:pPr>
            <w:pStyle w:val="a5"/>
            <w:ind w:right="-115"/>
            <w:jc w:val="right"/>
          </w:pPr>
        </w:p>
      </w:tc>
    </w:tr>
  </w:tbl>
  <w:p w14:paraId="112F9617" w14:textId="77777777" w:rsidR="00112D78" w:rsidRDefault="00A010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EC5"/>
    <w:multiLevelType w:val="multilevel"/>
    <w:tmpl w:val="746E413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20F2F"/>
    <w:multiLevelType w:val="multilevel"/>
    <w:tmpl w:val="6B8A2054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4D677DA"/>
    <w:multiLevelType w:val="multilevel"/>
    <w:tmpl w:val="7FE64310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CAF0829"/>
    <w:multiLevelType w:val="multilevel"/>
    <w:tmpl w:val="758879E0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A7391F"/>
    <w:multiLevelType w:val="multilevel"/>
    <w:tmpl w:val="47026918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2C51E46"/>
    <w:multiLevelType w:val="multilevel"/>
    <w:tmpl w:val="435A3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49B5"/>
    <w:rsid w:val="00A010DC"/>
    <w:rsid w:val="00CA49B5"/>
    <w:rsid w:val="00C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0002"/>
  <w15:docId w15:val="{BA77C556-F2B7-4EE9-8432-BB37237D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Hyperlink"/>
    <w:basedOn w:val="a0"/>
    <w:rPr>
      <w:color w:val="467886"/>
      <w:u w:val="single"/>
    </w:rPr>
  </w:style>
  <w:style w:type="paragraph" w:styleId="a5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styleId="a7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utlary.ru/news/publitsistika/frontovik-yazuchylar-fotoarkhiv" TargetMode="External"/><Relationship Id="rId13" Type="http://schemas.openxmlformats.org/officeDocument/2006/relationships/hyperlink" Target="https://www.prodlenka.org/metodicheskie-razrabotki/321074-sugysh-ellary-gail-tarihlarynda" TargetMode="External"/><Relationship Id="rId18" Type="http://schemas.openxmlformats.org/officeDocument/2006/relationships/hyperlink" Target="https://algaburaevo.ru/news/batyrlar-d-vere/2023-11-22/chyn-patriotlar-gyna-vatan-sagynda-35316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00tatarstan.ru/structure/profile/sovetlar-soyuzy-geroe-sabir-khtmov-tankny-yandyru-chen-buem-yaryy-paradta-katnashu-chen-kechken-ikn?ysclid=m9ffyg0wwr291542710" TargetMode="External"/><Relationship Id="rId7" Type="http://schemas.openxmlformats.org/officeDocument/2006/relationships/hyperlink" Target="https://project12789061.tilda.ws/" TargetMode="External"/><Relationship Id="rId12" Type="http://schemas.openxmlformats.org/officeDocument/2006/relationships/hyperlink" Target="https://dzen.ru/a/YJiAcaONIV1OsPc2?ysclid=m9ffmpn5k679909801" TargetMode="External"/><Relationship Id="rId17" Type="http://schemas.openxmlformats.org/officeDocument/2006/relationships/hyperlink" Target="https://tilda.cc/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atfrontu.ru/personi/23?page=1" TargetMode="External"/><Relationship Id="rId20" Type="http://schemas.openxmlformats.org/officeDocument/2006/relationships/hyperlink" Target="https://dzen.ru/a/ZdhHLg_uqi_2UOLO?ysclid=m9ffxpmyoe108297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00tatarstan.ru/structure/profile/tatarstan-v-period-velikoy-otechestvennoy-voyny?ysclid=m9ffl4clae35694329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atfrontu.ru/content/ratnyy-podvig-tatarstancev-v-gody-velikoy-otechestvennoy-voyny?ysclid=m90wile5zz50278084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atfrontu.ru/content/ahtyamov-sabir-ahtyamovich?ysclid=m9fc3bshlt921538273" TargetMode="External"/><Relationship Id="rId19" Type="http://schemas.openxmlformats.org/officeDocument/2006/relationships/hyperlink" Target="https://t.me/mypervie_patriotizm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tfrontu.ru/gallery2/v/arhivy/nacionalnyy-arhiv-respubliki-tatarstan/" TargetMode="External"/><Relationship Id="rId14" Type="http://schemas.openxmlformats.org/officeDocument/2006/relationships/hyperlink" Target="https://nsportal.ru/shkola/istoriya/library/2014/03/15/narod-tatarstana-v-gody-velikoy-otechestvennoy-voyny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4117</Words>
  <Characters>23470</Characters>
  <Application>Microsoft Office Word</Application>
  <DocSecurity>0</DocSecurity>
  <Lines>195</Lines>
  <Paragraphs>55</Paragraphs>
  <ScaleCrop>false</ScaleCrop>
  <Company/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Иванова</dc:creator>
  <dc:description/>
  <cp:lastModifiedBy>Пользователь</cp:lastModifiedBy>
  <cp:revision>2</cp:revision>
  <dcterms:created xsi:type="dcterms:W3CDTF">2026-04-30T16:54:00Z</dcterms:created>
  <dcterms:modified xsi:type="dcterms:W3CDTF">2026-04-30T16:54:00Z</dcterms:modified>
</cp:coreProperties>
</file>